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eastAsia="宋体" w:cs="Times New Roman"/>
          <w:lang w:val="en-US" w:eastAsia="zh-CN"/>
        </w:rPr>
      </w:pPr>
      <w:bookmarkStart w:id="0" w:name="_Toc23166"/>
      <w:bookmarkStart w:id="1" w:name="_Toc5239"/>
      <w:bookmarkStart w:id="2" w:name="_Toc28744"/>
      <w:bookmarkStart w:id="3" w:name="_Toc2672"/>
      <w:bookmarkStart w:id="4" w:name="_Toc2823"/>
      <w:bookmarkStart w:id="5" w:name="_Toc22098"/>
      <w:bookmarkStart w:id="6" w:name="_Toc28252"/>
      <w:bookmarkStart w:id="7" w:name="_Toc5723"/>
      <w:r>
        <w:rPr>
          <w:rFonts w:hint="default" w:ascii="Times New Roman" w:hAnsi="Times New Roman" w:eastAsia="宋体" w:cs="Times New Roman"/>
          <w:lang w:val="en-US" w:eastAsia="zh-CN"/>
        </w:rPr>
        <w:t>隆化国有林场管理处郭家屯林场地块</w:t>
      </w:r>
    </w:p>
    <w:p>
      <w:pPr>
        <w:pStyle w:val="4"/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土壤污染状况</w:t>
      </w:r>
      <w:r>
        <w:rPr>
          <w:rFonts w:hint="default" w:ascii="Times New Roman" w:hAnsi="Times New Roman" w:eastAsia="宋体" w:cs="Times New Roman"/>
        </w:rPr>
        <w:t>调查</w:t>
      </w:r>
      <w:r>
        <w:rPr>
          <w:rFonts w:hint="default" w:ascii="Times New Roman" w:hAnsi="Times New Roman" w:eastAsia="宋体" w:cs="Times New Roman"/>
          <w:lang w:val="en-US" w:eastAsia="zh-CN"/>
        </w:rPr>
        <w:t>报告</w:t>
      </w:r>
    </w:p>
    <w:p>
      <w:pPr>
        <w:pStyle w:val="4"/>
        <w:jc w:val="center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</w:rPr>
        <w:t>（</w:t>
      </w:r>
      <w:r>
        <w:rPr>
          <w:rFonts w:hint="eastAsia" w:cs="Times New Roman"/>
          <w:b w:val="0"/>
          <w:bCs/>
          <w:lang w:eastAsia="zh-CN"/>
        </w:rPr>
        <w:t>公示本</w:t>
      </w:r>
      <w:r>
        <w:rPr>
          <w:rFonts w:hint="default" w:ascii="Times New Roman" w:hAnsi="Times New Roman" w:cs="Times New Roman"/>
          <w:b w:val="0"/>
          <w:bCs/>
        </w:rPr>
        <w:t>）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 地块概况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widowControl w:val="0"/>
        <w:wordWrap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8" w:name="_Toc22861"/>
      <w:bookmarkStart w:id="9" w:name="_Toc22904"/>
      <w:bookmarkStart w:id="10" w:name="_Toc23724"/>
      <w:bookmarkStart w:id="11" w:name="_Toc31532"/>
      <w:bookmarkStart w:id="12" w:name="_Toc18637"/>
      <w:bookmarkStart w:id="13" w:name="_Toc18217"/>
      <w:bookmarkStart w:id="14" w:name="_Toc27213"/>
      <w:bookmarkStart w:id="15" w:name="_Toc31687"/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隆化国有林场管理处郭家屯林场地块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位于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承德市隆化县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郭家屯镇</w:t>
      </w:r>
      <w:r>
        <w:rPr>
          <w:rFonts w:hint="eastAsia" w:cs="Times New Roman"/>
          <w:color w:val="auto"/>
          <w:highlight w:val="none"/>
          <w:lang w:eastAsia="zh-CN"/>
        </w:rPr>
        <w:t>东屯村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地块总占地面积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13442.42</w:t>
      </w:r>
      <w: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cs="Times New Roman"/>
          <w:color w:val="000000" w:themeColor="text1"/>
          <w:highlight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（约合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20.16</w:t>
      </w:r>
      <w:r>
        <w:rPr>
          <w:rFonts w:hint="default" w:ascii="Times New Roman" w:hAnsi="Times New Roman" w:cs="Times New Roman"/>
          <w:color w:val="000000" w:themeColor="text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亩）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地块2020年以前为农用地</w:t>
      </w:r>
      <w: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2020年收储为建设用地，</w:t>
      </w:r>
      <w:r>
        <w:rPr>
          <w:rFonts w:hint="default" w:ascii="Times New Roman" w:hAnsi="Times New Roman" w:eastAsia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历史上</w:t>
      </w:r>
      <w:r>
        <w:rPr>
          <w:rFonts w:hint="default" w:ascii="Times New Roman" w:hAnsi="Times New Roman" w:eastAsia="宋体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未进行过任何工业生产活动，</w:t>
      </w:r>
      <w: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未来</w:t>
      </w:r>
      <w:r>
        <w:rPr>
          <w:rFonts w:hint="default" w:ascii="Times New Roman" w:hAnsi="Times New Roman" w:eastAsia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用地性质为</w:t>
      </w:r>
      <w:r>
        <w:rPr>
          <w:rFonts w:hint="eastAsia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商住混合用地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 现场采样和检测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widowControl/>
        <w:ind w:firstLine="480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16" w:name="_Toc24959"/>
      <w:bookmarkStart w:id="17" w:name="_Toc18873"/>
      <w:bookmarkStart w:id="18" w:name="_Toc1129"/>
      <w:bookmarkStart w:id="19" w:name="_Toc16732"/>
      <w:bookmarkStart w:id="20" w:name="_Toc21994"/>
      <w:bookmarkStart w:id="21" w:name="_Toc24420"/>
      <w:bookmarkStart w:id="22" w:name="_Toc10607"/>
      <w:r>
        <w:rPr>
          <w:rFonts w:hint="default" w:ascii="Times New Roman" w:hAnsi="Times New Roman" w:cs="Times New Roman"/>
          <w:color w:val="auto"/>
          <w:highlight w:val="none"/>
        </w:rPr>
        <w:t>我单位于20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14</w:t>
      </w:r>
      <w:r>
        <w:rPr>
          <w:rFonts w:hint="default" w:ascii="Times New Roman" w:hAnsi="Times New Roman" w:cs="Times New Roman"/>
          <w:color w:val="auto"/>
          <w:highlight w:val="none"/>
        </w:rPr>
        <w:t>日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~16日</w:t>
      </w:r>
      <w:r>
        <w:rPr>
          <w:rFonts w:hint="default" w:ascii="Times New Roman" w:hAnsi="Times New Roman" w:cs="Times New Roman"/>
          <w:color w:val="auto"/>
          <w:highlight w:val="none"/>
        </w:rPr>
        <w:t>对该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地块</w:t>
      </w:r>
      <w:r>
        <w:rPr>
          <w:rFonts w:hint="default" w:ascii="Times New Roman" w:hAnsi="Times New Roman" w:cs="Times New Roman"/>
          <w:color w:val="auto"/>
          <w:highlight w:val="none"/>
        </w:rPr>
        <w:t>进行现场钻探取样工作，</w:t>
      </w:r>
      <w:bookmarkStart w:id="23" w:name="OLE_LINK10"/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地块采样网格布点法布设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6个采样点位，共采集13组土壤样品，2组土壤平行样品。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现场共布设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个地下水监测点位，现场采集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组地下水样品，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另有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组</w:t>
      </w:r>
      <w:r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  <w:t>地下水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现场平行样品</w:t>
      </w:r>
      <w:r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  <w:t>。</w:t>
      </w:r>
    </w:p>
    <w:p>
      <w:pPr>
        <w:ind w:firstLine="480"/>
        <w:jc w:val="both"/>
        <w:rPr>
          <w:rFonts w:hint="default" w:ascii="Times New Roman" w:hAnsi="Times New Roman" w:cs="Times New Roman"/>
          <w:color w:val="0000FF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本项目</w:t>
      </w:r>
      <w:r>
        <w:rPr>
          <w:rFonts w:hint="default" w:ascii="Times New Roman" w:hAnsi="Times New Roman" w:cs="Times New Roman"/>
          <w:color w:val="auto"/>
          <w:highlight w:val="none"/>
        </w:rPr>
        <w:t>采样工作均由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我单位</w:t>
      </w:r>
      <w:r>
        <w:rPr>
          <w:rFonts w:hint="default" w:ascii="Times New Roman" w:hAnsi="Times New Roman" w:cs="Times New Roman"/>
          <w:color w:val="auto"/>
          <w:highlight w:val="none"/>
        </w:rPr>
        <w:t>技术人员根据《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布点采样</w:t>
      </w:r>
      <w:r>
        <w:rPr>
          <w:rFonts w:hint="default" w:ascii="Times New Roman" w:hAnsi="Times New Roman" w:cs="Times New Roman"/>
          <w:color w:val="auto"/>
          <w:highlight w:val="none"/>
        </w:rPr>
        <w:t>方案》要求进行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。本项目</w:t>
      </w:r>
      <w:r>
        <w:rPr>
          <w:rFonts w:hint="default" w:ascii="Times New Roman" w:hAnsi="Times New Roman" w:cs="Times New Roman"/>
          <w:color w:val="auto"/>
          <w:highlight w:val="none"/>
        </w:rPr>
        <w:t>采集的所有土壤样品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由河北百润环境检测技术有限公司</w:t>
      </w:r>
      <w:r>
        <w:rPr>
          <w:rFonts w:hint="default" w:ascii="Times New Roman" w:hAnsi="Times New Roman" w:cs="Times New Roman"/>
          <w:color w:val="auto"/>
          <w:highlight w:val="none"/>
        </w:rPr>
        <w:t>实验室（CMA资质）进行检测分析，并提供了全部检测样品的检测报告</w:t>
      </w:r>
      <w:bookmarkEnd w:id="23"/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及质控报告</w:t>
      </w:r>
      <w:r>
        <w:rPr>
          <w:rFonts w:hint="default" w:ascii="Times New Roman" w:hAnsi="Times New Roman" w:cs="Times New Roman"/>
          <w:color w:val="auto"/>
          <w:highlight w:val="none"/>
        </w:rPr>
        <w:t>。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 检测结果分析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4" w:name="_Toc16526"/>
      <w:bookmarkStart w:id="25" w:name="_Toc1746"/>
      <w:bookmarkStart w:id="26" w:name="_Toc6316"/>
      <w:bookmarkStart w:id="27" w:name="_Toc21868"/>
      <w:bookmarkStart w:id="28" w:name="_Toc15050"/>
      <w:bookmarkStart w:id="29" w:name="_Toc27064"/>
      <w:bookmarkStart w:id="30" w:name="_Toc26351"/>
      <w:bookmarkStart w:id="31" w:name="_Toc10124"/>
      <w:r>
        <w:rPr>
          <w:rFonts w:hint="default" w:ascii="Times New Roman" w:hAnsi="Times New Roman" w:cs="Times New Roman"/>
          <w:color w:val="auto"/>
          <w:lang w:val="en-US" w:eastAsia="zh-CN"/>
        </w:rPr>
        <w:t>土壤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样品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检测结果，只有重金属有检出，挥发性有机物，半挥发性有机物及六六六、滴滴涕全部未检出。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地下水样品检测结果，本次1口地下水监测井测定的25项常规因子中，共有pH、氟化物、氨氮、总硬度、溶解性总固体、硝酸盐、亚硝酸盐、耗氧量、硫酸盐、氯化物、铁、锰、钠、铜、硒合计15项指标均有检出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项目地块地下水点位有检出因子均未超过《地下水质量标准》（GB/T 14848-2017）Ⅲ类，分析认为，地下水水质良好。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 调查结论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通过土壤及地下水检测结果分析可知，本地块满足《土壤环境质量 建设用地土壤污染风险管控标准（试行）》（GB 36600-2018）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中第一类用地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相关标准要求，不属于污染地块。根据《建设用地土壤污染调查技术导则》（HJ 25.1-2019），本地块调查工作到该阶段（初步采样分析阶段）结束。该地块拟规划为</w:t>
      </w:r>
      <w:r>
        <w:rPr>
          <w:rFonts w:hint="eastAsia" w:cs="Times New Roman"/>
          <w:color w:val="auto"/>
          <w:highlight w:val="none"/>
          <w:lang w:val="en-US" w:eastAsia="zh-CN"/>
        </w:rPr>
        <w:t>居</w:t>
      </w:r>
      <w:bookmarkStart w:id="32" w:name="_GoBack"/>
      <w:bookmarkEnd w:id="32"/>
      <w:r>
        <w:rPr>
          <w:rFonts w:hint="eastAsia" w:cs="Times New Roman"/>
          <w:color w:val="auto"/>
          <w:highlight w:val="none"/>
          <w:lang w:val="en-US" w:eastAsia="zh-CN"/>
        </w:rPr>
        <w:t>住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用地</w:t>
      </w:r>
      <w:r>
        <w:rPr>
          <w:rFonts w:hint="default" w:ascii="Times New Roman" w:hAnsi="Times New Roman" w:cs="Times New Roman"/>
          <w:color w:val="auto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根据检测结果分析，本地块达到相应用地标准，因此可以安全利用。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5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72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LHqag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72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879B6"/>
    <w:rsid w:val="40A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3" w:firstLineChars="200"/>
      <w:jc w:val="both"/>
    </w:pPr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jc w:val="left"/>
      <w:outlineLvl w:val="1"/>
    </w:pPr>
    <w:rPr>
      <w:b/>
      <w:sz w:val="30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ind w:firstLine="0" w:firstLineChars="0"/>
      <w:outlineLvl w:val="3"/>
    </w:pPr>
    <w:rPr>
      <w:b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styleId="5">
    <w:name w:val="Body Text"/>
    <w:basedOn w:val="1"/>
    <w:next w:val="1"/>
    <w:qFormat/>
    <w:uiPriority w:val="0"/>
    <w:pPr>
      <w:snapToGrid w:val="0"/>
      <w:jc w:val="center"/>
    </w:pPr>
    <w:rPr>
      <w:rFonts w:ascii="Arial" w:hAnsi="Arial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吃猪的月亮</cp:lastModifiedBy>
  <dcterms:modified xsi:type="dcterms:W3CDTF">2020-06-18T02:28:36Z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