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东光县盛茂特种油品有限公司</w:t>
      </w: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地块</w:t>
      </w: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72"/>
          <w:szCs w:val="7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  <w:t>2020年土壤环境自行监测报告</w:t>
      </w:r>
    </w:p>
    <w:p>
      <w:pPr>
        <w:ind w:firstLine="480"/>
        <w:jc w:val="center"/>
        <w:rPr>
          <w:rFonts w:hint="default" w:ascii="Times New Roman" w:hAnsi="Times New Roman" w:cs="Times New Roma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cs="Times New Roman"/>
          <w:sz w:val="32"/>
          <w:szCs w:val="32"/>
        </w:rPr>
        <w:t>（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公示本</w:t>
      </w:r>
      <w:r>
        <w:rPr>
          <w:rFonts w:hint="default" w:ascii="Times New Roman" w:hAnsi="Times New Roman" w:cs="Times New Roman"/>
          <w:sz w:val="32"/>
          <w:szCs w:val="32"/>
        </w:rPr>
        <w:t>）</w:t>
      </w: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both"/>
        <w:rPr>
          <w:rFonts w:hint="default" w:ascii="Times New Roman" w:hAnsi="Times New Roman" w:cs="Times New Roman"/>
          <w:sz w:val="52"/>
          <w:szCs w:val="52"/>
        </w:rPr>
      </w:pPr>
    </w:p>
    <w:p>
      <w:pPr>
        <w:pStyle w:val="2"/>
        <w:ind w:firstLine="1040"/>
        <w:rPr>
          <w:rFonts w:hint="default" w:ascii="Times New Roman" w:hAnsi="Times New Roman" w:cs="Times New Roman"/>
          <w:sz w:val="52"/>
          <w:szCs w:val="5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委托单位：</w:t>
      </w:r>
      <w:r>
        <w:rPr>
          <w:rFonts w:hint="eastAsia" w:cs="Times New Roman"/>
          <w:sz w:val="30"/>
          <w:szCs w:val="30"/>
          <w:lang w:eastAsia="zh-CN"/>
        </w:rPr>
        <w:t>东光县盛茂特种油品有限公司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编制单位：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position w:val="0"/>
          <w:sz w:val="30"/>
          <w:szCs w:val="30"/>
          <w:u w:val="none"/>
          <w:lang w:val="en-US" w:eastAsia="zh-CN"/>
        </w:rPr>
        <w:t>河北百润环境检测技术有限公司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/>
        </w:rPr>
        <w:sectPr>
          <w:headerReference r:id="rId3" w:type="firs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编制日期：</w:t>
      </w:r>
      <w:r>
        <w:rPr>
          <w:rFonts w:hint="default" w:ascii="Times New Roman" w:hAnsi="Times New Roman" w:cs="Times New Roman"/>
          <w:sz w:val="30"/>
          <w:szCs w:val="30"/>
        </w:rPr>
        <w:t xml:space="preserve">二 〇 二 〇 年 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十</w:t>
      </w:r>
      <w:r>
        <w:rPr>
          <w:rFonts w:hint="default" w:ascii="Times New Roman" w:hAnsi="Times New Roman" w:cs="Times New Roman"/>
          <w:sz w:val="30"/>
          <w:szCs w:val="30"/>
        </w:rPr>
        <w:t xml:space="preserve"> 月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0" w:name="_Toc29005"/>
      <w:bookmarkStart w:id="1" w:name="_Toc10951"/>
      <w:bookmarkStart w:id="2" w:name="_Toc27989"/>
      <w:bookmarkStart w:id="3" w:name="_Toc10130"/>
      <w:bookmarkStart w:id="4" w:name="_Toc2459"/>
      <w:bookmarkStart w:id="5" w:name="_Toc5061"/>
      <w:bookmarkStart w:id="6" w:name="_Toc17871"/>
      <w:bookmarkStart w:id="7" w:name="_Toc9411"/>
      <w:bookmarkStart w:id="8" w:name="_Toc11546"/>
      <w:bookmarkStart w:id="9" w:name="_Toc30045"/>
      <w:bookmarkStart w:id="10" w:name="_Toc1979"/>
      <w:r>
        <w:rPr>
          <w:rFonts w:hint="default"/>
          <w:lang w:val="en-US" w:eastAsia="zh-CN"/>
        </w:rPr>
        <w:t xml:space="preserve">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</w:rPr>
        <w:t>地块基本信息</w:t>
      </w:r>
    </w:p>
    <w:p>
      <w:pPr>
        <w:bidi w:val="0"/>
        <w:rPr>
          <w:rFonts w:hint="default"/>
          <w:lang w:eastAsia="zh-CN"/>
        </w:rPr>
      </w:pPr>
      <w:r>
        <w:rPr>
          <w:rFonts w:hint="eastAsia" w:cs="Times New Roman"/>
          <w:snapToGrid w:val="0"/>
          <w:kern w:val="0"/>
          <w:sz w:val="24"/>
          <w:szCs w:val="24"/>
          <w:lang w:eastAsia="zh-CN"/>
        </w:rPr>
        <w:t>东光县盛茂特种油品有限公司</w:t>
      </w:r>
      <w:r>
        <w:rPr>
          <w:rFonts w:hint="eastAsia" w:cs="Times New Roman"/>
          <w:snapToGrid w:val="0"/>
          <w:kern w:val="0"/>
          <w:sz w:val="24"/>
          <w:szCs w:val="24"/>
        </w:rPr>
        <w:t>成立于200</w:t>
      </w:r>
      <w:r>
        <w:rPr>
          <w:rFonts w:hint="eastAsia" w:cs="Times New Roman"/>
          <w:snapToGrid w:val="0"/>
          <w:kern w:val="0"/>
          <w:sz w:val="24"/>
          <w:szCs w:val="24"/>
          <w:lang w:val="en-US" w:eastAsia="zh-CN"/>
        </w:rPr>
        <w:t>8</w:t>
      </w:r>
      <w:r>
        <w:rPr>
          <w:rFonts w:hint="eastAsia" w:cs="Times New Roman"/>
          <w:snapToGrid w:val="0"/>
          <w:kern w:val="0"/>
          <w:sz w:val="24"/>
          <w:szCs w:val="24"/>
        </w:rPr>
        <w:t>年，</w:t>
      </w:r>
      <w:r>
        <w:rPr>
          <w:rFonts w:cs="Times New Roman"/>
          <w:snapToGrid w:val="0"/>
          <w:kern w:val="0"/>
          <w:sz w:val="24"/>
          <w:szCs w:val="24"/>
        </w:rPr>
        <w:t>位于</w:t>
      </w:r>
      <w:r>
        <w:rPr>
          <w:rFonts w:eastAsia="宋体" w:cs="Times New Roman"/>
          <w:sz w:val="24"/>
          <w:szCs w:val="24"/>
        </w:rPr>
        <w:t>河北省沧州市东光县大单镇大单村</w:t>
      </w:r>
      <w:r>
        <w:rPr>
          <w:rFonts w:hint="eastAsia" w:eastAsia="宋体" w:cs="Times New Roman"/>
          <w:sz w:val="24"/>
          <w:szCs w:val="24"/>
        </w:rPr>
        <w:t>，法人代表为</w:t>
      </w:r>
      <w:r>
        <w:rPr>
          <w:rFonts w:hint="eastAsia" w:cs="Times New Roman"/>
          <w:color w:val="000000"/>
          <w:kern w:val="0"/>
          <w:sz w:val="24"/>
          <w:szCs w:val="24"/>
          <w:lang w:eastAsia="zh-CN" w:bidi="ar"/>
        </w:rPr>
        <w:t>刘学胜</w:t>
      </w:r>
      <w:r>
        <w:rPr>
          <w:rFonts w:hint="eastAsia" w:eastAsia="宋体" w:cs="Times New Roman"/>
          <w:color w:val="000000"/>
          <w:kern w:val="0"/>
          <w:sz w:val="24"/>
          <w:szCs w:val="24"/>
          <w:lang w:bidi="ar"/>
        </w:rPr>
        <w:t>，</w:t>
      </w:r>
      <w:r>
        <w:rPr>
          <w:rFonts w:cs="Times New Roman"/>
          <w:sz w:val="24"/>
          <w:szCs w:val="24"/>
        </w:rPr>
        <w:t>厂址中心坐标为</w:t>
      </w:r>
      <w:r>
        <w:rPr>
          <w:sz w:val="24"/>
          <w:szCs w:val="24"/>
        </w:rPr>
        <w:t>东经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116.831444</w:t>
      </w:r>
      <w:r>
        <w:rPr>
          <w:rFonts w:cs="Times New Roman"/>
          <w:sz w:val="24"/>
          <w:szCs w:val="24"/>
        </w:rPr>
        <w:t>°</w:t>
      </w:r>
      <w:r>
        <w:rPr>
          <w:sz w:val="24"/>
          <w:szCs w:val="24"/>
        </w:rPr>
        <w:t>，北纬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37.864888</w:t>
      </w:r>
      <w:r>
        <w:rPr>
          <w:rFonts w:cs="Times New Roman"/>
          <w:sz w:val="24"/>
          <w:szCs w:val="24"/>
        </w:rPr>
        <w:t>°</w:t>
      </w:r>
      <w:r>
        <w:rPr>
          <w:rFonts w:hint="eastAsia" w:cs="Times New Roman"/>
          <w:sz w:val="24"/>
          <w:szCs w:val="24"/>
        </w:rPr>
        <w:t>，地块</w:t>
      </w:r>
      <w:r>
        <w:rPr>
          <w:rFonts w:hint="eastAsia" w:eastAsia="宋体" w:cs="Times New Roman"/>
          <w:color w:val="000000"/>
          <w:kern w:val="0"/>
          <w:sz w:val="24"/>
          <w:szCs w:val="24"/>
          <w:lang w:bidi="ar"/>
        </w:rPr>
        <w:t>占地面积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11870.70</w:t>
      </w:r>
      <w:r>
        <w:rPr>
          <w:rFonts w:hint="eastAsia" w:eastAsia="宋体" w:cs="Times New Roman"/>
          <w:color w:val="000000"/>
          <w:kern w:val="0"/>
          <w:sz w:val="24"/>
          <w:szCs w:val="24"/>
          <w:lang w:bidi="ar"/>
        </w:rPr>
        <w:t>m</w:t>
      </w:r>
      <w:r>
        <w:rPr>
          <w:rFonts w:hint="eastAsia" w:eastAsia="宋体" w:cs="Times New Roman"/>
          <w:color w:val="000000"/>
          <w:kern w:val="0"/>
          <w:sz w:val="24"/>
          <w:szCs w:val="24"/>
          <w:vertAlign w:val="superscript"/>
          <w:lang w:bidi="ar"/>
        </w:rPr>
        <w:t>2</w:t>
      </w:r>
      <w:r>
        <w:rPr>
          <w:rFonts w:hint="eastAsia" w:eastAsia="宋体" w:cs="Times New Roman"/>
          <w:color w:val="000000"/>
          <w:kern w:val="0"/>
          <w:sz w:val="24"/>
          <w:szCs w:val="24"/>
          <w:lang w:bidi="ar"/>
        </w:rPr>
        <w:t>，占地为工业用地，为在产企业。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1" w:name="_Toc9911"/>
      <w:bookmarkStart w:id="12" w:name="_Toc7550"/>
      <w:bookmarkStart w:id="13" w:name="_Toc20287"/>
      <w:bookmarkStart w:id="14" w:name="_Toc32527"/>
      <w:bookmarkStart w:id="15" w:name="_Toc18307"/>
      <w:bookmarkStart w:id="16" w:name="_Toc21865"/>
      <w:bookmarkStart w:id="17" w:name="_Toc20859"/>
      <w:bookmarkStart w:id="18" w:name="_Toc30817"/>
      <w:bookmarkStart w:id="19" w:name="_Toc31573"/>
      <w:bookmarkStart w:id="20" w:name="_Toc11833"/>
      <w:r>
        <w:rPr>
          <w:rFonts w:hint="default"/>
          <w:lang w:val="en-US" w:eastAsia="zh-CN"/>
        </w:rPr>
        <w:t>2 现场采样和监测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2"/>
        <w:spacing w:line="480" w:lineRule="exact"/>
        <w:ind w:firstLine="480"/>
        <w:rPr>
          <w:rFonts w:cs="Times New Roman"/>
          <w:szCs w:val="24"/>
        </w:rPr>
      </w:pPr>
      <w:r>
        <w:rPr>
          <w:rFonts w:eastAsia="宋体" w:cs="Times New Roman"/>
          <w:szCs w:val="24"/>
        </w:rPr>
        <w:t>我公司于</w:t>
      </w:r>
      <w:r>
        <w:rPr>
          <w:rFonts w:hint="eastAsia" w:cs="Times New Roman"/>
          <w:szCs w:val="24"/>
        </w:rPr>
        <w:t>2020年7月</w:t>
      </w:r>
      <w:r>
        <w:rPr>
          <w:rFonts w:hint="eastAsia" w:cs="Times New Roman"/>
          <w:szCs w:val="24"/>
          <w:lang w:val="en-US" w:eastAsia="zh-CN"/>
        </w:rPr>
        <w:t>11</w:t>
      </w:r>
      <w:r>
        <w:rPr>
          <w:rFonts w:hint="eastAsia" w:cs="Times New Roman"/>
          <w:szCs w:val="24"/>
        </w:rPr>
        <w:t>日</w:t>
      </w:r>
      <w:r>
        <w:rPr>
          <w:rFonts w:hint="eastAsia" w:cs="Times New Roman"/>
          <w:szCs w:val="24"/>
          <w:lang w:val="en-US" w:eastAsia="zh-CN"/>
        </w:rPr>
        <w:t>-</w:t>
      </w:r>
      <w:r>
        <w:rPr>
          <w:rFonts w:hint="eastAsia" w:cs="Times New Roman"/>
          <w:szCs w:val="24"/>
        </w:rPr>
        <w:t>7月</w:t>
      </w:r>
      <w:r>
        <w:rPr>
          <w:rFonts w:hint="eastAsia" w:cs="Times New Roman"/>
          <w:szCs w:val="24"/>
          <w:lang w:val="en-US" w:eastAsia="zh-CN"/>
        </w:rPr>
        <w:t>14</w:t>
      </w:r>
      <w:r>
        <w:rPr>
          <w:rFonts w:hint="eastAsia" w:cs="Times New Roman"/>
          <w:szCs w:val="24"/>
        </w:rPr>
        <w:t>日</w:t>
      </w:r>
      <w:r>
        <w:rPr>
          <w:rFonts w:eastAsia="宋体" w:cs="Times New Roman"/>
          <w:szCs w:val="24"/>
        </w:rPr>
        <w:t>组织采样人员对</w:t>
      </w:r>
      <w:r>
        <w:rPr>
          <w:rFonts w:hint="eastAsia" w:eastAsia="宋体" w:cs="Times New Roman"/>
          <w:szCs w:val="24"/>
        </w:rPr>
        <w:t>该地块</w:t>
      </w:r>
      <w:r>
        <w:rPr>
          <w:rFonts w:eastAsia="宋体" w:cs="Times New Roman"/>
          <w:szCs w:val="24"/>
        </w:rPr>
        <w:t>进行了土壤和地下水的钻探采样工作</w:t>
      </w:r>
      <w:r>
        <w:rPr>
          <w:rFonts w:hint="eastAsia" w:eastAsia="宋体" w:cs="Times New Roman"/>
          <w:szCs w:val="24"/>
        </w:rPr>
        <w:t>。该地块</w:t>
      </w:r>
      <w:r>
        <w:t>共</w:t>
      </w:r>
      <w:r>
        <w:rPr>
          <w:rFonts w:hint="eastAsia"/>
        </w:rPr>
        <w:t>布设了</w:t>
      </w:r>
      <w:r>
        <w:rPr>
          <w:rFonts w:hint="eastAsia"/>
          <w:lang w:val="en-US" w:eastAsia="zh-CN"/>
        </w:rPr>
        <w:t>11</w:t>
      </w:r>
      <w:r>
        <w:t>个</w:t>
      </w:r>
      <w:r>
        <w:rPr>
          <w:rFonts w:hint="eastAsia"/>
        </w:rPr>
        <w:t>土壤</w:t>
      </w:r>
      <w:r>
        <w:t>采样点</w:t>
      </w:r>
      <w:r>
        <w:rPr>
          <w:rFonts w:hint="eastAsia"/>
          <w:lang w:eastAsia="zh-CN"/>
        </w:rPr>
        <w:t>（包含</w:t>
      </w:r>
      <w:r>
        <w:rPr>
          <w:rFonts w:hint="eastAsia"/>
          <w:lang w:val="en-US" w:eastAsia="zh-CN"/>
        </w:rPr>
        <w:t>1个对照点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t>采集土壤样品</w:t>
      </w:r>
      <w:r>
        <w:rPr>
          <w:rFonts w:hint="eastAsia"/>
          <w:lang w:val="en-US" w:eastAsia="zh-CN"/>
        </w:rPr>
        <w:t>44</w:t>
      </w:r>
      <w:r>
        <w:t>组，</w:t>
      </w:r>
      <w:r>
        <w:rPr>
          <w:rFonts w:hint="eastAsia"/>
          <w:lang w:eastAsia="zh-CN"/>
        </w:rPr>
        <w:t>另有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组平行样、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组质控样；</w:t>
      </w:r>
      <w:r>
        <w:t>共</w:t>
      </w:r>
      <w:r>
        <w:rPr>
          <w:rFonts w:hint="eastAsia"/>
        </w:rPr>
        <w:t>布设了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个地下水采样点，</w:t>
      </w:r>
      <w:r>
        <w:t>采集</w:t>
      </w:r>
      <w:r>
        <w:rPr>
          <w:rFonts w:hint="eastAsia"/>
        </w:rPr>
        <w:t>地下水</w:t>
      </w:r>
      <w:r>
        <w:t>样品</w:t>
      </w:r>
      <w:r>
        <w:rPr>
          <w:rFonts w:hint="eastAsia"/>
          <w:lang w:val="en-US" w:eastAsia="zh-CN"/>
        </w:rPr>
        <w:t>5</w:t>
      </w:r>
      <w:r>
        <w:t>组，</w:t>
      </w:r>
      <w:r>
        <w:rPr>
          <w:rFonts w:hint="eastAsia"/>
          <w:lang w:eastAsia="zh-CN"/>
        </w:rPr>
        <w:t>另有</w:t>
      </w:r>
      <w:r>
        <w:rPr>
          <w:rFonts w:hint="eastAsia"/>
        </w:rPr>
        <w:t>1组平行样、1组质控样。</w:t>
      </w:r>
    </w:p>
    <w:p>
      <w:pPr>
        <w:ind w:firstLine="480"/>
      </w:pPr>
      <w:r>
        <w:t>本项目调查采样全部由</w:t>
      </w:r>
      <w:r>
        <w:rPr>
          <w:rFonts w:hint="eastAsia"/>
        </w:rPr>
        <w:t>河北百润环境检测技术有限公司</w:t>
      </w:r>
      <w:r>
        <w:t>的采样技术人员根据制定的采样方案进行。</w:t>
      </w:r>
    </w:p>
    <w:p>
      <w:pPr>
        <w:bidi w:val="0"/>
        <w:rPr>
          <w:rFonts w:hint="default"/>
          <w:lang w:val="en-US" w:eastAsia="zh-CN"/>
        </w:rPr>
      </w:pPr>
      <w:r>
        <w:rPr>
          <w:rFonts w:eastAsia="宋体" w:cs="Times New Roman"/>
          <w:szCs w:val="24"/>
        </w:rPr>
        <w:t>采集的</w:t>
      </w:r>
      <w:r>
        <w:rPr>
          <w:rFonts w:hint="eastAsia" w:eastAsia="宋体" w:cs="Times New Roman"/>
          <w:szCs w:val="24"/>
        </w:rPr>
        <w:t>质控</w:t>
      </w:r>
      <w:r>
        <w:rPr>
          <w:rFonts w:eastAsia="宋体" w:cs="Times New Roman"/>
          <w:szCs w:val="24"/>
        </w:rPr>
        <w:t>样品送至</w:t>
      </w:r>
      <w:r>
        <w:rPr>
          <w:rFonts w:hint="eastAsia" w:eastAsia="宋体" w:cs="Times New Roman"/>
        </w:rPr>
        <w:t>河北浦安检测技术有限公司</w:t>
      </w:r>
      <w:r>
        <w:rPr>
          <w:rFonts w:eastAsia="宋体" w:cs="Times New Roman"/>
        </w:rPr>
        <w:t>（CMA认证资质）</w:t>
      </w:r>
      <w:r>
        <w:rPr>
          <w:rFonts w:eastAsia="宋体" w:cs="Times New Roman"/>
          <w:szCs w:val="24"/>
        </w:rPr>
        <w:t>实验室</w:t>
      </w:r>
      <w:r>
        <w:rPr>
          <w:rFonts w:hint="eastAsia" w:eastAsia="宋体" w:cs="Times New Roman"/>
        </w:rPr>
        <w:t>进行</w:t>
      </w:r>
      <w:r>
        <w:rPr>
          <w:rFonts w:eastAsia="宋体" w:cs="Times New Roman"/>
        </w:rPr>
        <w:t>外控</w:t>
      </w:r>
      <w:r>
        <w:rPr>
          <w:rFonts w:hint="eastAsia" w:eastAsia="宋体" w:cs="Times New Roman"/>
        </w:rPr>
        <w:t>化验分析</w:t>
      </w:r>
      <w:r>
        <w:rPr>
          <w:rFonts w:eastAsia="宋体" w:cs="Times New Roman"/>
        </w:rPr>
        <w:t>，</w:t>
      </w:r>
      <w:r>
        <w:rPr>
          <w:rFonts w:hint="eastAsia" w:eastAsia="宋体" w:cs="Times New Roman"/>
        </w:rPr>
        <w:t>其余样品均交由</w:t>
      </w:r>
      <w:r>
        <w:rPr>
          <w:rFonts w:eastAsia="宋体" w:cs="Times New Roman"/>
          <w:szCs w:val="24"/>
        </w:rPr>
        <w:t>河北百润环境检测技术有限公司</w:t>
      </w:r>
      <w:r>
        <w:rPr>
          <w:rFonts w:eastAsia="宋体" w:cs="Times New Roman"/>
        </w:rPr>
        <w:t>（CMA认证资质）</w:t>
      </w:r>
      <w:r>
        <w:rPr>
          <w:rFonts w:eastAsia="宋体" w:cs="Times New Roman"/>
          <w:szCs w:val="24"/>
        </w:rPr>
        <w:t>实验室进行化验分析</w:t>
      </w:r>
      <w:r>
        <w:rPr>
          <w:rFonts w:hint="default"/>
        </w:rPr>
        <w:t>。</w:t>
      </w:r>
    </w:p>
    <w:p>
      <w:pPr>
        <w:pStyle w:val="4"/>
        <w:bidi w:val="0"/>
        <w:rPr>
          <w:rFonts w:hint="default"/>
        </w:rPr>
      </w:pPr>
      <w:bookmarkStart w:id="21" w:name="_Toc9664"/>
      <w:bookmarkStart w:id="22" w:name="_Toc742"/>
      <w:bookmarkStart w:id="23" w:name="_Toc10440"/>
      <w:bookmarkStart w:id="24" w:name="_Toc12793"/>
      <w:bookmarkStart w:id="25" w:name="_Toc6182"/>
      <w:bookmarkStart w:id="26" w:name="_Toc8072_WPSOffice_Level3"/>
      <w:bookmarkStart w:id="27" w:name="_Toc8153"/>
      <w:bookmarkStart w:id="28" w:name="_Toc15719"/>
      <w:bookmarkStart w:id="29" w:name="_Toc21169"/>
      <w:bookmarkStart w:id="30" w:name="_Toc3858"/>
      <w:bookmarkStart w:id="31" w:name="_Toc13010"/>
      <w:bookmarkStart w:id="32" w:name="_Toc867"/>
      <w:bookmarkStart w:id="33" w:name="_Toc13439"/>
      <w:bookmarkStart w:id="34" w:name="_Toc9194"/>
      <w:bookmarkStart w:id="35" w:name="_Toc17946"/>
      <w:bookmarkStart w:id="36" w:name="_Toc1501"/>
      <w:r>
        <w:rPr>
          <w:rFonts w:hint="default"/>
        </w:rPr>
        <w:t xml:space="preserve">3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hint="eastAsia"/>
        </w:rPr>
        <w:t>地块污染情况分析</w:t>
      </w:r>
    </w:p>
    <w:p>
      <w:pPr>
        <w:ind w:firstLine="480"/>
        <w:rPr>
          <w:rFonts w:cs="Times New Roman"/>
          <w:highlight w:val="none"/>
        </w:rPr>
      </w:pPr>
      <w:r>
        <w:rPr>
          <w:rFonts w:cs="Times New Roman"/>
          <w:highlight w:val="none"/>
        </w:rPr>
        <w:t>（1）土壤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东光县盛茂特种油品有限公司</w:t>
      </w:r>
      <w:r>
        <w:rPr>
          <w:rFonts w:hint="default" w:ascii="Times New Roman" w:hAnsi="Times New Roman" w:cs="Times New Roman"/>
          <w:lang w:val="en-US" w:eastAsia="zh-CN"/>
        </w:rPr>
        <w:t>地块内共布设</w:t>
      </w:r>
      <w:r>
        <w:rPr>
          <w:rFonts w:hint="eastAsia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  <w:lang w:val="en-US" w:eastAsia="zh-CN"/>
        </w:rPr>
        <w:t>个土壤点位和1个对照点位，</w:t>
      </w:r>
      <w:r>
        <w:rPr>
          <w:rFonts w:hint="default" w:ascii="Times New Roman" w:hAnsi="Times New Roman" w:cs="Times New Roman"/>
        </w:rPr>
        <w:t>共检测</w:t>
      </w:r>
      <w:r>
        <w:rPr>
          <w:rFonts w:hint="eastAsia" w:cs="Times New Roman"/>
          <w:lang w:val="en-US" w:eastAsia="zh-CN"/>
        </w:rPr>
        <w:t>44</w:t>
      </w:r>
      <w:r>
        <w:rPr>
          <w:rFonts w:hint="default" w:ascii="Times New Roman" w:hAnsi="Times New Roman" w:cs="Times New Roman"/>
        </w:rPr>
        <w:t>组土壤样品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检测项目为</w:t>
      </w:r>
      <w:r>
        <w:rPr>
          <w:rFonts w:hint="default" w:ascii="Times New Roman" w:hAnsi="Times New Roman" w:eastAsia="宋体" w:cs="Times New Roman"/>
          <w:kern w:val="0"/>
          <w:lang w:eastAsia="en-US"/>
        </w:rPr>
        <w:t>pH、45项、总石油烃、钒</w:t>
      </w:r>
      <w:r>
        <w:rPr>
          <w:rFonts w:hint="default" w:ascii="Times New Roman" w:hAnsi="Times New Roman" w:eastAsia="宋体" w:cs="Times New Roman"/>
          <w:kern w:val="0"/>
          <w:lang w:eastAsia="zh-CN"/>
        </w:rPr>
        <w:t>。</w:t>
      </w:r>
    </w:p>
    <w:p>
      <w:pPr>
        <w:bidi w:val="0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重金属（砷、镉、六价铬、铜、铅、汞、镍、钒）：</w:t>
      </w:r>
      <w:r>
        <w:rPr>
          <w:rFonts w:hint="eastAsia" w:ascii="宋体" w:hAnsi="宋体"/>
          <w:highlight w:val="none"/>
        </w:rPr>
        <w:t>所有</w:t>
      </w:r>
      <w:r>
        <w:rPr>
          <w:rFonts w:hint="eastAsia" w:ascii="宋体" w:hAnsi="宋体"/>
          <w:highlight w:val="none"/>
          <w:lang w:eastAsia="zh-CN"/>
        </w:rPr>
        <w:t>地块内</w:t>
      </w:r>
      <w:r>
        <w:rPr>
          <w:rFonts w:hint="eastAsia" w:ascii="宋体" w:hAnsi="宋体"/>
          <w:highlight w:val="none"/>
        </w:rPr>
        <w:t>检测土壤样品中六价铬</w:t>
      </w:r>
      <w:r>
        <w:rPr>
          <w:rFonts w:hint="eastAsia" w:ascii="宋体" w:hAnsi="宋体"/>
          <w:highlight w:val="none"/>
          <w:lang w:eastAsia="zh-CN"/>
        </w:rPr>
        <w:t>均未检出</w:t>
      </w:r>
      <w:r>
        <w:rPr>
          <w:rFonts w:hint="eastAsia" w:ascii="宋体" w:hAnsi="宋体"/>
          <w:highlight w:val="none"/>
        </w:rPr>
        <w:t>，</w:t>
      </w:r>
      <w:r>
        <w:rPr>
          <w:rFonts w:hint="eastAsia"/>
          <w:b w:val="0"/>
          <w:bCs w:val="0"/>
          <w:highlight w:val="none"/>
          <w:lang w:val="en-US" w:eastAsia="zh-CN"/>
        </w:rPr>
        <w:t>砷、镉、铜、铅、汞、镍、钒均有检出，</w:t>
      </w:r>
      <w:r>
        <w:rPr>
          <w:rFonts w:hint="eastAsia" w:ascii="宋体" w:hAnsi="宋体"/>
          <w:highlight w:val="none"/>
        </w:rPr>
        <w:t>但各检出因子的最大浓度均未超过本次土壤调查所选用的筛选值</w:t>
      </w:r>
      <w:r>
        <w:rPr>
          <w:rFonts w:hint="eastAsia" w:ascii="宋体" w:hAnsi="宋体"/>
          <w:highlight w:val="none"/>
          <w:lang w:eastAsia="zh-CN"/>
        </w:rPr>
        <w:t>，</w:t>
      </w:r>
      <w:r>
        <w:rPr>
          <w:rFonts w:hint="eastAsia"/>
          <w:lang w:eastAsia="zh-CN"/>
        </w:rPr>
        <w:t>现状检测浓度水平与对照点及历史检测浓度水平均一致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。</w:t>
      </w:r>
    </w:p>
    <w:p>
      <w:pPr>
        <w:bidi w:val="0"/>
        <w:ind w:firstLine="480"/>
        <w:rPr>
          <w:rFonts w:hint="eastAsia" w:ascii="Times New Roman" w:hAnsi="Times New Roman" w:eastAsia="宋体" w:cs="宋体"/>
          <w:b/>
          <w:bCs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Cs w:val="21"/>
          <w:highlight w:val="none"/>
          <w:lang w:val="en-US" w:eastAsia="zh-CN"/>
        </w:rPr>
        <w:t>挥发性有机物（VOCs）：</w:t>
      </w:r>
      <w:r>
        <w:rPr>
          <w:rFonts w:hint="eastAsia" w:ascii="宋体" w:hAnsi="宋体"/>
          <w:highlight w:val="none"/>
        </w:rPr>
        <w:t>所有</w:t>
      </w:r>
      <w:r>
        <w:rPr>
          <w:rFonts w:hint="eastAsia" w:ascii="宋体" w:hAnsi="宋体"/>
          <w:highlight w:val="none"/>
          <w:lang w:eastAsia="zh-CN"/>
        </w:rPr>
        <w:t>地块内</w:t>
      </w:r>
      <w:r>
        <w:rPr>
          <w:rFonts w:hint="eastAsia" w:ascii="宋体" w:hAnsi="宋体"/>
          <w:highlight w:val="none"/>
        </w:rPr>
        <w:t>检测土壤样品中</w:t>
      </w:r>
      <w:r>
        <w:rPr>
          <w:rFonts w:hint="eastAsia" w:ascii="Times New Roman" w:hAnsi="Times New Roman" w:eastAsia="宋体" w:cs="宋体"/>
          <w:b w:val="0"/>
          <w:bCs w:val="0"/>
          <w:szCs w:val="21"/>
          <w:highlight w:val="none"/>
          <w:lang w:val="en-US" w:eastAsia="zh-CN"/>
        </w:rPr>
        <w:t>VOCs</w:t>
      </w:r>
      <w:r>
        <w:rPr>
          <w:rFonts w:hint="eastAsia" w:ascii="Times New Roman" w:hAnsi="Times New Roman" w:cs="宋体"/>
          <w:b w:val="0"/>
          <w:bCs w:val="0"/>
          <w:szCs w:val="21"/>
          <w:highlight w:val="none"/>
          <w:lang w:val="en-US" w:eastAsia="zh-CN"/>
        </w:rPr>
        <w:t>均未检出</w:t>
      </w:r>
      <w:r>
        <w:rPr>
          <w:rFonts w:hint="eastAsia" w:cs="宋体"/>
          <w:b w:val="0"/>
          <w:bCs w:val="0"/>
          <w:szCs w:val="21"/>
          <w:highlight w:val="none"/>
          <w:lang w:val="en-US" w:eastAsia="zh-CN"/>
        </w:rPr>
        <w:t>，</w:t>
      </w:r>
      <w:r>
        <w:rPr>
          <w:rFonts w:hint="eastAsia"/>
          <w:lang w:eastAsia="zh-CN"/>
        </w:rPr>
        <w:t>现状检测浓度水平与对照点及历史检测浓度水平均一致</w:t>
      </w:r>
      <w:r>
        <w:rPr>
          <w:rFonts w:hint="eastAsia"/>
          <w:highlight w:val="none"/>
        </w:rPr>
        <w:t>。</w:t>
      </w:r>
    </w:p>
    <w:p>
      <w:pPr>
        <w:bidi w:val="0"/>
        <w:ind w:firstLine="480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szCs w:val="21"/>
          <w:highlight w:val="none"/>
          <w:lang w:val="en-US" w:eastAsia="zh-CN"/>
        </w:rPr>
        <w:t>半挥发性有机物（SVOCs）：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1个对照点中4个土壤样品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SVOCs均未检出，地块内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10个采样点位中40个土壤样品中除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苯并[a]蒽、苯并[a]芘、䓛、二苯并[a,h]蒽、茚并[1,2,3-cd]芘有检出，其余因子均</w:t>
      </w:r>
      <w:r>
        <w:rPr>
          <w:rFonts w:hint="eastAsia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未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检出</w:t>
      </w:r>
      <w:r>
        <w:rPr>
          <w:rFonts w:hint="eastAsia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；历史数据中所有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土壤样品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SVOCs均未检出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bidi w:val="0"/>
        <w:ind w:firstLine="480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苯并[a]蒽、苯并[a]芘、䓛、二苯并[a,h]蒽、茚并[1,2,3-cd]芘</w:t>
      </w:r>
      <w:r>
        <w:rPr>
          <w:rFonts w:hint="eastAsia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检出结果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均未超过本次土壤调查所选用的筛选值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，检出因子均位于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1D02（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3#储罐区中部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）0.5m处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苯并[a]蒽、苯并[a]芘、䓛、二苯并[a,h]蒽、茚并[1,2,3-cd]芘检出数值均小于</w:t>
      </w:r>
      <w:r>
        <w:rPr>
          <w:rFonts w:hint="eastAsia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测定下限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，不属于有效数据，</w:t>
      </w:r>
      <w:r>
        <w:rPr>
          <w:rFonts w:hint="eastAsia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可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不进行影响分析。</w:t>
      </w:r>
      <w:r>
        <w:rPr>
          <w:rFonts w:hint="eastAsia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因此，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SVOCs</w:t>
      </w:r>
      <w:r>
        <w:rPr>
          <w:rFonts w:hint="eastAsia"/>
          <w:lang w:eastAsia="zh-CN"/>
        </w:rPr>
        <w:t>现状检测浓度水平与对照点及历史检测浓度水平均一致。</w:t>
      </w:r>
    </w:p>
    <w:p>
      <w:pPr>
        <w:bidi w:val="0"/>
        <w:ind w:firstLine="480"/>
        <w:rPr>
          <w:rFonts w:hint="eastAsia" w:ascii="宋体" w:hAnsi="宋体"/>
          <w:b/>
          <w:bCs/>
          <w:highlight w:val="none"/>
          <w:lang w:eastAsia="zh-CN"/>
        </w:rPr>
      </w:pPr>
      <w:r>
        <w:rPr>
          <w:rFonts w:hint="eastAsia" w:ascii="宋体" w:hAnsi="宋体"/>
          <w:b/>
          <w:bCs/>
          <w:highlight w:val="none"/>
        </w:rPr>
        <w:t>其他特征因子</w:t>
      </w:r>
      <w:r>
        <w:rPr>
          <w:rFonts w:hint="eastAsia" w:ascii="宋体" w:hAnsi="宋体"/>
          <w:b/>
          <w:bCs/>
          <w:highlight w:val="none"/>
          <w:lang w:eastAsia="zh-CN"/>
        </w:rPr>
        <w:t>：</w:t>
      </w:r>
      <w:r>
        <w:rPr>
          <w:rFonts w:hint="eastAsia"/>
          <w:highlight w:val="none"/>
          <w:lang w:eastAsia="zh-CN"/>
        </w:rPr>
        <w:t>本次自行监测工作除检测重金属、</w:t>
      </w:r>
      <w:r>
        <w:rPr>
          <w:rFonts w:hint="eastAsia"/>
          <w:highlight w:val="none"/>
          <w:lang w:val="en-US" w:eastAsia="zh-CN"/>
        </w:rPr>
        <w:t>VOCs、SVOCs外还检测了特征因子pH、总石油烃。</w:t>
      </w:r>
    </w:p>
    <w:p>
      <w:pPr>
        <w:bidi w:val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①pH</w:t>
      </w:r>
    </w:p>
    <w:p>
      <w:pPr>
        <w:bidi w:val="0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本项目企业用地内重点区域10个采样点位中40个土壤样品、1个对照点中4个土壤样品检测了pH，所有土壤样品pH均有检出，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重点区域pH检测范围为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8.46-9.27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（无量纲），对照点土壤样品pH检测范围为</w:t>
      </w: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-SA"/>
        </w:rPr>
        <w:t>8.22~8.64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（无量纲），</w:t>
      </w:r>
      <w:r>
        <w:rPr>
          <w:rFonts w:hint="eastAsia" w:cs="Times New Roman"/>
          <w:sz w:val="24"/>
          <w:szCs w:val="24"/>
          <w:highlight w:val="none"/>
          <w:lang w:val="en-US" w:eastAsia="zh-CN"/>
        </w:rPr>
        <w:t>2019年历史数据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土壤样品pH检测范围为</w:t>
      </w:r>
      <w:r>
        <w:rPr>
          <w:rFonts w:hint="eastAsia"/>
          <w:sz w:val="24"/>
          <w:szCs w:val="24"/>
          <w:lang w:val="en-US" w:eastAsia="zh-CN"/>
        </w:rPr>
        <w:t>7.81-8.64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（无量纲），</w:t>
      </w:r>
      <w:r>
        <w:rPr>
          <w:rFonts w:hint="eastAsia"/>
          <w:highlight w:val="none"/>
          <w:lang w:val="en-US" w:eastAsia="zh-CN"/>
        </w:rPr>
        <w:t>pH</w:t>
      </w:r>
      <w:r>
        <w:rPr>
          <w:rFonts w:hint="eastAsia"/>
          <w:lang w:eastAsia="zh-CN"/>
        </w:rPr>
        <w:t>现状检测水平与对照点及历史检测水平均一致</w:t>
      </w:r>
      <w:r>
        <w:rPr>
          <w:rFonts w:hint="eastAsia"/>
          <w:sz w:val="24"/>
          <w:szCs w:val="24"/>
          <w:highlight w:val="none"/>
          <w:lang w:val="en-US"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②总石油烃</w:t>
      </w:r>
    </w:p>
    <w:p>
      <w:pPr>
        <w:bidi w:val="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本项目企业用地内重点区域</w:t>
      </w:r>
      <w:r>
        <w:rPr>
          <w:rFonts w:hint="eastAsia" w:eastAsia="宋体" w:cs="Times New Roman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lang w:val="en-US" w:eastAsia="zh-CN"/>
        </w:rPr>
        <w:t>个采样点位中</w:t>
      </w:r>
      <w:r>
        <w:rPr>
          <w:rFonts w:hint="eastAsia" w:eastAsia="宋体" w:cs="Times New Roman"/>
          <w:lang w:val="en-US" w:eastAsia="zh-CN"/>
        </w:rPr>
        <w:t>40</w:t>
      </w:r>
      <w:r>
        <w:rPr>
          <w:rFonts w:hint="eastAsia" w:ascii="Times New Roman" w:hAnsi="Times New Roman" w:eastAsia="宋体" w:cs="Times New Roman"/>
          <w:lang w:val="en-US" w:eastAsia="zh-CN"/>
        </w:rPr>
        <w:t>个土壤样品、1个对照点中4个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土壤样品检测了总石油烃，重点区域共有</w:t>
      </w:r>
      <w:r>
        <w:rPr>
          <w:rFonts w:hint="eastAsia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个土壤样品中总石油烃有检出，浓度范围为</w:t>
      </w:r>
      <w:r>
        <w:rPr>
          <w:rFonts w:hint="eastAsia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~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cs="Times New Roman"/>
          <w:sz w:val="24"/>
          <w:szCs w:val="24"/>
          <w:lang w:val="en-US" w:eastAsia="zh-CN"/>
        </w:rPr>
        <w:t>06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mg/kg，对照点总石油烃浓度范围</w:t>
      </w:r>
      <w:r>
        <w:rPr>
          <w:rFonts w:hint="eastAsia" w:cs="Times New Roman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mg/kg，</w:t>
      </w:r>
      <w:r>
        <w:rPr>
          <w:rFonts w:hint="eastAsia" w:cs="Times New Roman"/>
          <w:sz w:val="24"/>
          <w:szCs w:val="24"/>
          <w:lang w:val="en-US" w:eastAsia="zh-CN"/>
        </w:rPr>
        <w:t>历史数据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总石油烃浓度范围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6.18~9.56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mg/kg，</w:t>
      </w:r>
      <w:r>
        <w:rPr>
          <w:rFonts w:hint="eastAsia" w:ascii="Times New Roman" w:hAnsi="Times New Roman" w:eastAsia="宋体" w:cs="Times New Roman"/>
          <w:lang w:val="en-US" w:eastAsia="zh-CN"/>
        </w:rPr>
        <w:t>低于本次自行监测所选用筛选值4500mg/kg。</w:t>
      </w:r>
    </w:p>
    <w:p>
      <w:pPr>
        <w:bidi w:val="0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 w:cs="Times New Roman"/>
          <w:lang w:val="en-US" w:eastAsia="zh-CN"/>
        </w:rPr>
        <w:t>对照点与历史数据在同一浓度水平，现状检测浓度水平略高于对照点及历史数据，</w:t>
      </w:r>
      <w:r>
        <w:rPr>
          <w:rFonts w:hint="eastAsia" w:ascii="Times New Roman" w:hAnsi="Times New Roman" w:eastAsia="宋体" w:cs="Times New Roman"/>
          <w:lang w:val="en-US" w:eastAsia="zh-CN"/>
        </w:rPr>
        <w:t>总石油烃最大检出浓度为</w:t>
      </w:r>
      <w:r>
        <w:rPr>
          <w:rFonts w:hint="eastAsia" w:cs="Times New Roman"/>
          <w:lang w:val="en-US" w:eastAsia="zh-CN"/>
        </w:rPr>
        <w:t>106</w:t>
      </w:r>
      <w:r>
        <w:rPr>
          <w:rFonts w:hint="eastAsia" w:ascii="Times New Roman" w:hAnsi="Times New Roman" w:eastAsia="宋体" w:cs="Times New Roman"/>
          <w:lang w:val="en-US" w:eastAsia="zh-CN"/>
        </w:rPr>
        <w:t>mg/kg，位于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1D02（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3#储罐区中部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eastAsia="宋体" w:cs="Times New Roman"/>
          <w:b w:val="0"/>
          <w:bCs w:val="0"/>
          <w:sz w:val="24"/>
          <w:szCs w:val="24"/>
          <w:lang w:val="en-US" w:eastAsia="zh-CN"/>
        </w:rPr>
        <w:t>深度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0.5m处</w:t>
      </w:r>
      <w:r>
        <w:rPr>
          <w:rFonts w:hint="eastAsia" w:ascii="Times New Roman" w:hAnsi="Times New Roman" w:eastAsia="宋体" w:cs="Times New Roman"/>
          <w:lang w:val="en-US" w:eastAsia="zh-CN"/>
        </w:rPr>
        <w:t>，该点位浓度范围相对其他点位均偏高，原因可能是原料储存、输送过程阀门开关处遗撒、泄漏导致，其他点位检出浓度</w:t>
      </w:r>
      <w:r>
        <w:rPr>
          <w:rFonts w:hint="eastAsia" w:cs="Times New Roman"/>
          <w:lang w:val="en-US" w:eastAsia="zh-CN"/>
        </w:rPr>
        <w:t>与对照点及历史数据在同一浓度水平</w:t>
      </w:r>
      <w:r>
        <w:rPr>
          <w:rFonts w:hint="eastAsia" w:ascii="Times New Roman" w:hAnsi="Times New Roman" w:eastAsia="宋体" w:cs="Times New Roman"/>
          <w:lang w:val="en-US" w:eastAsia="zh-CN"/>
        </w:rPr>
        <w:t>，不再进行分析。</w:t>
      </w:r>
    </w:p>
    <w:p>
      <w:pPr>
        <w:pStyle w:val="2"/>
        <w:ind w:left="480" w:leftChars="200" w:firstLine="0" w:firstLineChars="0"/>
        <w:rPr>
          <w:rFonts w:cs="Times New Roman"/>
          <w:highlight w:val="none"/>
        </w:rPr>
      </w:pPr>
      <w:r>
        <w:rPr>
          <w:rFonts w:hint="eastAsia" w:cs="Times New Roman"/>
          <w:highlight w:val="none"/>
        </w:rPr>
        <w:t>（2）地下水</w:t>
      </w:r>
    </w:p>
    <w:p>
      <w:pPr>
        <w:bidi w:val="0"/>
        <w:ind w:firstLine="720" w:firstLineChars="300"/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①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  <w:t>根据</w:t>
      </w:r>
      <w:r>
        <w:rPr>
          <w:rFonts w:hint="eastAsia" w:eastAsia="宋体" w:cs="宋体"/>
          <w:caps w:val="0"/>
          <w:smallCaps w:val="0"/>
          <w:szCs w:val="21"/>
          <w:highlight w:val="none"/>
          <w:lang w:val="en-US" w:eastAsia="zh-CN"/>
        </w:rPr>
        <w:t>数据统计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  <w:t>可知：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铜、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镍、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砷</w:t>
      </w:r>
      <w:r>
        <w:rPr>
          <w:rFonts w:hint="eastAsia"/>
          <w:sz w:val="24"/>
          <w:szCs w:val="24"/>
          <w:lang w:val="en-US" w:eastAsia="zh-CN"/>
        </w:rPr>
        <w:t>有检出，但均未超过</w:t>
      </w:r>
      <w:r>
        <w:rPr>
          <w:rFonts w:hint="eastAsia"/>
        </w:rPr>
        <w:t>《地下水质量标准》（</w:t>
      </w:r>
      <w:r>
        <w:t>GB14848-2017</w:t>
      </w:r>
      <w:r>
        <w:rPr>
          <w:rFonts w:hint="eastAsia"/>
        </w:rPr>
        <w:t>）中Ⅲ类标准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  <w:t>；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钒有检出，但无标准暂不评价</w:t>
      </w:r>
      <w:r>
        <w:rPr>
          <w:rFonts w:hint="eastAsia" w:eastAsia="宋体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bidi w:val="0"/>
        <w:ind w:firstLine="480"/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本地块</w:t>
      </w:r>
      <w:r>
        <w:rPr>
          <w:rFonts w:hint="eastAsia" w:eastAsia="宋体" w:cs="宋体"/>
          <w:caps w:val="0"/>
          <w:smallCaps w:val="0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个地下水样品检测了VOCs，</w:t>
      </w:r>
      <w:r>
        <w:rPr>
          <w:rFonts w:hint="eastAsia" w:cs="宋体"/>
          <w:caps w:val="0"/>
          <w:smallCaps w:val="0"/>
          <w:szCs w:val="21"/>
          <w:lang w:val="en-US" w:eastAsia="zh-CN"/>
        </w:rPr>
        <w:t>1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口地下水井（2A01）中的</w:t>
      </w:r>
      <w:r>
        <w:rPr>
          <w:rFonts w:hint="eastAsia" w:cs="宋体"/>
          <w:caps w:val="0"/>
          <w:smallCaps w:val="0"/>
          <w:szCs w:val="21"/>
          <w:lang w:val="en-US" w:eastAsia="zh-CN"/>
        </w:rPr>
        <w:t>苯</w:t>
      </w:r>
      <w:r>
        <w:rPr>
          <w:rFonts w:hint="eastAsia" w:ascii="Times New Roman" w:hAnsi="Times New Roman" w:cs="宋体"/>
          <w:caps w:val="0"/>
          <w:smallCaps w:val="0"/>
          <w:szCs w:val="21"/>
          <w:highlight w:val="none"/>
          <w:lang w:val="en-US" w:eastAsia="zh-CN"/>
        </w:rPr>
        <w:t>有检出，其</w:t>
      </w:r>
      <w:r>
        <w:rPr>
          <w:rFonts w:hint="eastAsia" w:ascii="Times New Roman" w:hAnsi="Times New Roman" w:cs="宋体"/>
          <w:b w:val="0"/>
          <w:bCs w:val="0"/>
          <w:caps w:val="0"/>
          <w:smallCaps w:val="0"/>
          <w:szCs w:val="21"/>
          <w:highlight w:val="none"/>
          <w:lang w:val="en-US" w:eastAsia="zh-CN"/>
        </w:rPr>
        <w:t>余因子均未检出</w:t>
      </w:r>
      <w:r>
        <w:rPr>
          <w:rFonts w:hint="eastAsia" w:cs="宋体"/>
          <w:b w:val="0"/>
          <w:bCs w:val="0"/>
          <w:caps w:val="0"/>
          <w:smallCaps w:val="0"/>
          <w:szCs w:val="21"/>
          <w:highlight w:val="none"/>
          <w:lang w:val="en-US" w:eastAsia="zh-CN"/>
        </w:rPr>
        <w:t>，</w:t>
      </w: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苯为该地块的特征污染物</w:t>
      </w:r>
      <w:r>
        <w:rPr>
          <w:rFonts w:hint="eastAsia" w:ascii="Times New Roman" w:hAnsi="Times New Roman" w:cs="宋体"/>
          <w:b w:val="0"/>
          <w:bCs w:val="0"/>
          <w:caps w:val="0"/>
          <w:smallCaps w:val="0"/>
          <w:szCs w:val="21"/>
          <w:highlight w:val="none"/>
          <w:lang w:val="en-US" w:eastAsia="zh-CN"/>
        </w:rPr>
        <w:t>。</w:t>
      </w:r>
      <w:r>
        <w:rPr>
          <w:rFonts w:hint="eastAsia"/>
          <w:b w:val="0"/>
          <w:bCs w:val="0"/>
          <w:highlight w:val="none"/>
          <w:lang w:val="en-US" w:eastAsia="zh-CN"/>
        </w:rPr>
        <w:t>2A0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乳化油生产区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西北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侧</w:t>
      </w:r>
      <w:r>
        <w:rPr>
          <w:rFonts w:hint="eastAsia" w:eastAsia="宋体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m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/>
          <w:b w:val="0"/>
          <w:bCs w:val="0"/>
          <w:highlight w:val="none"/>
          <w:lang w:val="en-US" w:eastAsia="zh-CN"/>
        </w:rPr>
        <w:t>苯检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出浓度2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µg/L</w:t>
      </w:r>
      <w:r>
        <w:rPr>
          <w:rFonts w:hint="eastAsia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未超过</w:t>
      </w:r>
      <w:r>
        <w:rPr>
          <w:rFonts w:hint="eastAsia"/>
          <w:b w:val="0"/>
          <w:bCs w:val="0"/>
        </w:rPr>
        <w:t>《地下水质量标准》（</w:t>
      </w:r>
      <w:r>
        <w:rPr>
          <w:b w:val="0"/>
          <w:bCs w:val="0"/>
        </w:rPr>
        <w:t>GB14848-2017</w:t>
      </w:r>
      <w:r>
        <w:rPr>
          <w:rFonts w:hint="eastAsia"/>
          <w:b w:val="0"/>
          <w:bCs w:val="0"/>
        </w:rPr>
        <w:t>）中Ⅲ类标准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建议企业下一年度开展自行监测的时候，加强对此因子的</w:t>
      </w: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监测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对比。</w:t>
      </w:r>
    </w:p>
    <w:p>
      <w:pPr>
        <w:bidi w:val="0"/>
        <w:ind w:firstLine="480"/>
        <w:rPr>
          <w:rFonts w:hint="eastAsia" w:ascii="Times New Roman" w:hAnsi="Times New Roman" w:eastAsia="宋体" w:cs="宋体"/>
          <w:b w:val="0"/>
          <w:bCs w:val="0"/>
          <w:caps w:val="0"/>
          <w:smallCaps w:val="0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szCs w:val="21"/>
          <w:lang w:eastAsia="zh-CN"/>
        </w:rPr>
        <w:t>本地块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szCs w:val="21"/>
          <w:lang w:val="en-US" w:eastAsia="zh-CN"/>
        </w:rPr>
        <w:t>3个地下水样品检测了SVOCs，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</w:rPr>
        <w:t>所有检测样品中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szCs w:val="21"/>
          <w:lang w:val="en-US" w:eastAsia="zh-CN"/>
        </w:rPr>
        <w:t>全部未检出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szCs w:val="21"/>
        </w:rPr>
        <w:t>。</w:t>
      </w:r>
    </w:p>
    <w:p>
      <w:pPr>
        <w:numPr>
          <w:ilvl w:val="0"/>
          <w:numId w:val="0"/>
        </w:numPr>
        <w:bidi w:val="0"/>
        <w:ind w:leftChars="20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石油烃（</w:t>
      </w:r>
      <w:r>
        <w:rPr>
          <w:rFonts w:hint="default" w:eastAsia="宋体"/>
          <w:lang w:val="en-US" w:eastAsia="zh-CN"/>
        </w:rPr>
        <w:t>C10-C40</w:t>
      </w:r>
      <w:r>
        <w:rPr>
          <w:rFonts w:hint="eastAsia" w:eastAsia="宋体"/>
          <w:lang w:val="en-US" w:eastAsia="zh-CN"/>
        </w:rPr>
        <w:t>）均未检出，钒有检出，但无标准暂不评价。</w:t>
      </w:r>
    </w:p>
    <w:p>
      <w:pPr>
        <w:numPr>
          <w:ilvl w:val="0"/>
          <w:numId w:val="0"/>
        </w:numPr>
        <w:bidi w:val="0"/>
        <w:ind w:leftChars="200"/>
        <w:rPr>
          <w:rFonts w:hint="eastAsia" w:ascii="Times New Roman" w:hAnsi="Times New Roman" w:eastAsia="宋体"/>
          <w:b w:val="0"/>
          <w:bCs w:val="0"/>
          <w:caps w:val="0"/>
          <w:smallCaps w:val="0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>②</w:t>
      </w:r>
      <w:r>
        <w:rPr>
          <w:rFonts w:hint="eastAsia" w:eastAsia="宋体"/>
          <w:lang w:val="en-US" w:eastAsia="zh-CN"/>
        </w:rPr>
        <w:t>历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sz w:val="24"/>
          <w:szCs w:val="24"/>
          <w:lang w:eastAsia="zh-CN"/>
        </w:rPr>
        <w:t>史超标因子</w:t>
      </w:r>
    </w:p>
    <w:p>
      <w:pPr>
        <w:pStyle w:val="14"/>
        <w:ind w:firstLine="480"/>
        <w:rPr>
          <w:rFonts w:hint="eastAsia" w:ascii="Times New Roman" w:hAnsi="Times New Roman" w:eastAsia="宋体"/>
          <w:caps w:val="0"/>
          <w:smallCap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eastAsia="zh-CN"/>
        </w:rPr>
        <w:t>方案编制阶段收集了</w:t>
      </w:r>
      <w:r>
        <w:rPr>
          <w:rFonts w:hint="eastAsia" w:ascii="Times New Roman" w:hAnsi="Times New Roman" w:eastAsia="宋体" w:cs="Times New Roman"/>
          <w:caps w:val="0"/>
          <w:smallCaps w:val="0"/>
          <w:color w:val="auto"/>
          <w:szCs w:val="22"/>
          <w:highlight w:val="none"/>
          <w:lang w:eastAsia="zh-CN" w:bidi="ar-SA"/>
        </w:rPr>
        <w:t>《</w:t>
      </w:r>
      <w:r>
        <w:rPr>
          <w:rFonts w:hint="eastAsia" w:eastAsia="宋体" w:cs="Times New Roman"/>
          <w:caps w:val="0"/>
          <w:smallCaps w:val="0"/>
          <w:highlight w:val="none"/>
          <w:lang w:eastAsia="zh-CN"/>
        </w:rPr>
        <w:t>东光县盛茂特种油品有限公司</w:t>
      </w:r>
      <w:r>
        <w:rPr>
          <w:rFonts w:hint="default" w:ascii="Times New Roman" w:hAnsi="Times New Roman" w:eastAsia="宋体" w:cs="Times New Roman"/>
          <w:caps w:val="0"/>
          <w:smallCaps w:val="0"/>
          <w:color w:val="auto"/>
          <w:szCs w:val="22"/>
          <w:highlight w:val="none"/>
          <w:lang w:val="en-US" w:eastAsia="zh-CN" w:bidi="ar-SA"/>
        </w:rPr>
        <w:t>企业用地2019年度</w:t>
      </w:r>
      <w:r>
        <w:rPr>
          <w:rFonts w:hint="default" w:ascii="Times New Roman" w:hAnsi="Times New Roman" w:eastAsia="宋体" w:cs="Times New Roman"/>
          <w:caps w:val="0"/>
          <w:smallCaps w:val="0"/>
          <w:color w:val="auto"/>
          <w:szCs w:val="22"/>
          <w:highlight w:val="none"/>
          <w:lang w:eastAsia="zh-CN" w:bidi="ar-SA"/>
        </w:rPr>
        <w:t>土壤环境质量状况报告</w:t>
      </w:r>
      <w:r>
        <w:rPr>
          <w:rFonts w:hint="eastAsia" w:ascii="Times New Roman" w:hAnsi="Times New Roman" w:eastAsia="宋体" w:cs="Times New Roman"/>
          <w:caps w:val="0"/>
          <w:smallCaps w:val="0"/>
          <w:color w:val="auto"/>
          <w:szCs w:val="22"/>
          <w:highlight w:val="none"/>
          <w:lang w:eastAsia="zh-CN" w:bidi="ar-SA"/>
        </w:rPr>
        <w:t>》（</w:t>
      </w:r>
      <w:r>
        <w:rPr>
          <w:rFonts w:hint="eastAsia" w:ascii="Times New Roman" w:hAnsi="Times New Roman" w:eastAsia="宋体" w:cs="Times New Roman"/>
          <w:caps w:val="0"/>
          <w:smallCaps w:val="0"/>
          <w:color w:val="auto"/>
          <w:szCs w:val="22"/>
          <w:highlight w:val="none"/>
          <w:lang w:val="en-US" w:eastAsia="zh-CN" w:bidi="ar-SA"/>
        </w:rPr>
        <w:t>2019年12月</w:t>
      </w:r>
      <w:r>
        <w:rPr>
          <w:rFonts w:hint="eastAsia" w:ascii="Times New Roman" w:hAnsi="Times New Roman" w:eastAsia="宋体" w:cs="Times New Roman"/>
          <w:caps w:val="0"/>
          <w:smallCaps w:val="0"/>
          <w:color w:val="auto"/>
          <w:szCs w:val="22"/>
          <w:highlight w:val="none"/>
          <w:lang w:eastAsia="zh-CN" w:bidi="ar-SA"/>
        </w:rPr>
        <w:t>），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硝酸盐（以N计）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总硬度（以CaCO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计)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锰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溶解性总固体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耗氧量（CODMn法以O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计）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硫酸盐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氯化物</w:t>
      </w:r>
      <w:r>
        <w:rPr>
          <w:rFonts w:hint="eastAsia" w:ascii="Times New Roman" w:hAnsi="Times New Roman" w:eastAsia="宋体" w:cs="Times New Roman"/>
          <w:caps w:val="0"/>
          <w:smallCaps w:val="0"/>
          <w:color w:val="auto"/>
          <w:sz w:val="24"/>
          <w:highlight w:val="none"/>
          <w:lang w:val="en-US" w:eastAsia="zh-CN"/>
        </w:rPr>
        <w:t>检测结果</w:t>
      </w:r>
      <w:r>
        <w:rPr>
          <w:rFonts w:hint="default" w:ascii="Times New Roman" w:hAnsi="Times New Roman" w:eastAsia="宋体" w:cs="Times New Roman"/>
          <w:caps w:val="0"/>
          <w:smallCaps w:val="0"/>
          <w:highlight w:val="none"/>
          <w:lang w:val="en-US" w:eastAsia="zh-CN"/>
        </w:rPr>
        <w:t>超过《地下水质量标准》（GB14848-2017）</w:t>
      </w:r>
      <w:r>
        <w:rPr>
          <w:rFonts w:hint="default" w:ascii="Times New Roman" w:hAnsi="Times New Roman" w:eastAsia="宋体" w:cs="Times New Roman"/>
          <w:caps w:val="0"/>
          <w:smallCaps w:val="0"/>
          <w:highlight w:val="none"/>
        </w:rPr>
        <w:t>Ⅲ</w:t>
      </w:r>
      <w:r>
        <w:rPr>
          <w:rFonts w:hint="default" w:ascii="Times New Roman" w:hAnsi="Times New Roman" w:eastAsia="宋体" w:cs="Times New Roman"/>
          <w:caps w:val="0"/>
          <w:smallCaps w:val="0"/>
          <w:highlight w:val="none"/>
          <w:lang w:val="en-US" w:eastAsia="zh-CN"/>
        </w:rPr>
        <w:t>类标准</w:t>
      </w:r>
      <w:r>
        <w:rPr>
          <w:rFonts w:hint="eastAsia" w:ascii="Times New Roman" w:hAnsi="Times New Roman" w:eastAsia="宋体" w:cs="Times New Roman"/>
          <w:caps w:val="0"/>
          <w:smallCaps w:val="0"/>
          <w:highlight w:val="none"/>
          <w:lang w:val="en-US" w:eastAsia="zh-CN"/>
        </w:rPr>
        <w:t>，故本次将历史超标因子进行了检测。</w:t>
      </w:r>
    </w:p>
    <w:p>
      <w:pPr>
        <w:pStyle w:val="14"/>
        <w:ind w:firstLine="480"/>
        <w:rPr>
          <w:rFonts w:hint="eastAsia" w:ascii="Times New Roman" w:hAnsi="Times New Roman" w:cs="Times New Roman"/>
          <w:caps w:val="0"/>
          <w:smallCaps w:val="0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sz w:val="24"/>
          <w:szCs w:val="24"/>
        </w:rPr>
        <w:t>溶解性总固体</w:t>
      </w:r>
      <w:r>
        <w:rPr>
          <w:rFonts w:hint="eastAsia" w:eastAsia="宋体"/>
          <w:caps w:val="0"/>
          <w:smallCaps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个点位均超标，最大超标倍数</w:t>
      </w:r>
      <w:r>
        <w:rPr>
          <w:rFonts w:hint="eastAsia" w:ascii="Times New Roman" w:hAnsi="Times New Roman"/>
          <w:caps w:val="0"/>
          <w:smallCaps w:val="0"/>
          <w:sz w:val="24"/>
          <w:szCs w:val="24"/>
          <w:lang w:val="en-US" w:eastAsia="zh-CN"/>
        </w:rPr>
        <w:t>1.</w:t>
      </w:r>
      <w:r>
        <w:rPr>
          <w:rFonts w:hint="eastAsia"/>
          <w:caps w:val="0"/>
          <w:smallCaps w:val="0"/>
          <w:sz w:val="24"/>
          <w:szCs w:val="24"/>
          <w:lang w:val="en-US" w:eastAsia="zh-CN"/>
        </w:rPr>
        <w:t>44</w:t>
      </w:r>
      <w:r>
        <w:rPr>
          <w:rFonts w:hint="eastAsia" w:ascii="Times New Roman" w:hAnsi="Times New Roman"/>
          <w:caps w:val="0"/>
          <w:smallCaps w:val="0"/>
          <w:sz w:val="24"/>
          <w:szCs w:val="24"/>
          <w:lang w:val="en-US" w:eastAsia="zh-CN"/>
        </w:rPr>
        <w:t>；</w:t>
      </w:r>
      <w:r>
        <w:rPr>
          <w:rFonts w:hint="eastAsia" w:ascii="Times New Roman" w:hAnsi="Times New Roman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总硬度</w:t>
      </w:r>
      <w:r>
        <w:rPr>
          <w:rFonts w:hint="eastAsia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个点位均超标，最大超标倍数</w:t>
      </w:r>
      <w:r>
        <w:rPr>
          <w:rFonts w:hint="eastAsia"/>
          <w:caps w:val="0"/>
          <w:smallCaps w:val="0"/>
          <w:sz w:val="24"/>
          <w:szCs w:val="24"/>
          <w:lang w:val="en-US" w:eastAsia="zh-CN"/>
        </w:rPr>
        <w:t>1.85</w:t>
      </w:r>
      <w:r>
        <w:rPr>
          <w:rFonts w:hint="eastAsia" w:ascii="Times New Roman" w:hAnsi="Times New Roman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硫酸</w:t>
      </w:r>
      <w:r>
        <w:rPr>
          <w:rFonts w:hint="eastAsia" w:ascii="Times New Roman" w:hAnsi="Times New Roman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盐2个点位超标，最大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超标倍数</w:t>
      </w:r>
      <w:r>
        <w:rPr>
          <w:rFonts w:hint="eastAsia"/>
          <w:caps w:val="0"/>
          <w:smallCaps w:val="0"/>
          <w:sz w:val="24"/>
          <w:szCs w:val="24"/>
          <w:lang w:val="en-US" w:eastAsia="zh-CN"/>
        </w:rPr>
        <w:t>1.453</w:t>
      </w:r>
      <w:r>
        <w:rPr>
          <w:rFonts w:hint="eastAsia" w:ascii="Times New Roman" w:hAnsi="Times New Roman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Times New Roman" w:hAnsi="Times New Roman" w:eastAsia="宋体" w:cs="Times New Roman"/>
          <w:caps w:val="0"/>
          <w:smallCaps w:val="0"/>
        </w:rPr>
        <w:t>耗氧量</w:t>
      </w:r>
      <w:r>
        <w:rPr>
          <w:rFonts w:hint="eastAsia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个点位超标，最大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超标倍数</w:t>
      </w:r>
      <w:r>
        <w:rPr>
          <w:rFonts w:hint="eastAsia" w:cs="Times New Roman"/>
          <w:caps w:val="0"/>
          <w:smallCaps w:val="0"/>
          <w:lang w:val="en-US" w:eastAsia="zh-CN"/>
        </w:rPr>
        <w:t>5.2</w:t>
      </w:r>
      <w:r>
        <w:rPr>
          <w:rFonts w:hint="eastAsia" w:ascii="Times New Roman" w:hAnsi="Times New Roman" w:cs="Times New Roman"/>
          <w:caps w:val="0"/>
          <w:smallCaps w:val="0"/>
          <w:lang w:eastAsia="zh-CN"/>
        </w:rPr>
        <w:t>；</w:t>
      </w:r>
      <w:r>
        <w:rPr>
          <w:rFonts w:hint="eastAsia" w:ascii="Times New Roman" w:hAnsi="Times New Roman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氯化物</w:t>
      </w:r>
      <w:r>
        <w:rPr>
          <w:rFonts w:hint="eastAsia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未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超标，</w:t>
      </w:r>
      <w:r>
        <w:rPr>
          <w:rFonts w:hint="eastAsia" w:ascii="Times New Roman" w:hAnsi="Times New Roman" w:cs="Times New Roman"/>
          <w:caps w:val="0"/>
          <w:smallCaps w:val="0"/>
          <w:highlight w:val="none"/>
          <w:lang w:val="en-US" w:eastAsia="zh-CN"/>
        </w:rPr>
        <w:t>最大占标率</w:t>
      </w:r>
      <w:r>
        <w:rPr>
          <w:rFonts w:hint="eastAsia" w:eastAsia="宋体"/>
          <w:caps w:val="0"/>
          <w:smallCaps w:val="0"/>
          <w:sz w:val="24"/>
          <w:szCs w:val="24"/>
          <w:lang w:val="en-US" w:eastAsia="zh-CN"/>
        </w:rPr>
        <w:t>0.508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；</w:t>
      </w:r>
      <w:r>
        <w:rPr>
          <w:rFonts w:hint="eastAsia" w:eastAsia="宋体"/>
          <w:caps w:val="0"/>
          <w:smallCaps w:val="0"/>
          <w:sz w:val="24"/>
          <w:szCs w:val="24"/>
          <w:highlight w:val="none"/>
          <w:lang w:val="en-US" w:eastAsia="zh-CN"/>
        </w:rPr>
        <w:t>硝酸盐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highlight w:val="none"/>
          <w:lang w:val="en-US" w:eastAsia="zh-CN"/>
        </w:rPr>
        <w:t>未超标，最大占标率</w:t>
      </w:r>
      <w:r>
        <w:rPr>
          <w:rFonts w:hint="eastAsia" w:eastAsia="宋体"/>
          <w:caps w:val="0"/>
          <w:smallCaps w:val="0"/>
          <w:sz w:val="24"/>
          <w:szCs w:val="24"/>
          <w:highlight w:val="none"/>
          <w:lang w:val="en-US" w:eastAsia="zh-CN"/>
        </w:rPr>
        <w:t>0.055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highlight w:val="none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caps w:val="0"/>
          <w:smallCaps w:val="0"/>
          <w:highlight w:val="none"/>
          <w:lang w:val="en-US" w:eastAsia="zh-CN"/>
        </w:rPr>
        <w:t>锰</w:t>
      </w:r>
      <w:r>
        <w:rPr>
          <w:rFonts w:hint="eastAsia" w:eastAsia="宋体"/>
          <w:caps w:val="0"/>
          <w:smallCaps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个点位均超标，最大超标倍数</w:t>
      </w:r>
      <w:r>
        <w:rPr>
          <w:rFonts w:hint="eastAsia" w:cs="Times New Roman"/>
          <w:caps w:val="0"/>
          <w:smallCaps w:val="0"/>
          <w:highlight w:val="none"/>
          <w:lang w:val="en-US" w:eastAsia="zh-CN"/>
        </w:rPr>
        <w:t>7.89</w:t>
      </w:r>
      <w:r>
        <w:rPr>
          <w:rFonts w:hint="eastAsia" w:ascii="Times New Roman" w:hAnsi="Times New Roman" w:cs="Times New Roman"/>
          <w:caps w:val="0"/>
          <w:smallCaps w:val="0"/>
          <w:highlight w:val="none"/>
          <w:lang w:val="en-US" w:eastAsia="zh-CN"/>
        </w:rPr>
        <w:t>。</w:t>
      </w:r>
    </w:p>
    <w:p>
      <w:pPr>
        <w:pStyle w:val="14"/>
        <w:ind w:firstLine="480"/>
        <w:rPr>
          <w:rFonts w:hint="default" w:ascii="Times New Roman" w:hAnsi="Times New Roman" w:cs="Times New Roman"/>
          <w:caps w:val="0"/>
          <w:smallCaps w:val="0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硫酸盐、总硬度、溶解性总固体、耗氧量、锰均有超标，</w:t>
      </w:r>
      <w:r>
        <w:rPr>
          <w:rFonts w:hint="default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主要是因为本区浅层水为咸水，属于地质结构和水文地质结构等自然因素造成的。</w:t>
      </w:r>
    </w:p>
    <w:p>
      <w:pPr>
        <w:pStyle w:val="4"/>
        <w:bidi w:val="0"/>
        <w:rPr>
          <w:rFonts w:hint="default"/>
        </w:rPr>
      </w:pPr>
      <w:bookmarkStart w:id="37" w:name="_Toc9444"/>
      <w:bookmarkStart w:id="38" w:name="_Toc26727"/>
      <w:bookmarkStart w:id="39" w:name="_Toc25660"/>
      <w:bookmarkStart w:id="40" w:name="_Toc3981"/>
      <w:bookmarkStart w:id="41" w:name="_Toc247"/>
      <w:bookmarkStart w:id="42" w:name="_Toc26077"/>
      <w:bookmarkStart w:id="43" w:name="_Toc12713"/>
      <w:bookmarkStart w:id="44" w:name="_Toc24452"/>
      <w:bookmarkStart w:id="45" w:name="_Toc24870_WPSOffice_Level3"/>
      <w:bookmarkStart w:id="46" w:name="_Toc4795"/>
      <w:bookmarkStart w:id="47" w:name="_Toc12653"/>
      <w:bookmarkStart w:id="48" w:name="_Toc17121"/>
      <w:bookmarkStart w:id="49" w:name="_Toc22134"/>
      <w:r>
        <w:rPr>
          <w:rFonts w:hint="default"/>
          <w:lang w:val="en-US" w:eastAsia="zh-CN"/>
        </w:rPr>
        <w:t>4</w:t>
      </w:r>
      <w:r>
        <w:rPr>
          <w:rFonts w:hint="default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hint="eastAsia"/>
          <w:lang w:eastAsia="zh-CN"/>
        </w:rPr>
        <w:t>建议</w:t>
      </w:r>
    </w:p>
    <w:p>
      <w:pPr>
        <w:ind w:firstLine="48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本次调查土壤检测结果显示各检测因子均未超标，</w:t>
      </w:r>
      <w:r>
        <w:rPr>
          <w:rFonts w:hint="eastAsia" w:cs="Times New Roman"/>
          <w:lang w:eastAsia="zh-CN"/>
        </w:rPr>
        <w:t>地下水锰超标，锰为历史超标因子，</w:t>
      </w:r>
      <w:r>
        <w:rPr>
          <w:rFonts w:hint="eastAsia" w:ascii="Times New Roman" w:hAnsi="Times New Roman" w:eastAsia="宋体" w:cs="Times New Roman"/>
        </w:rPr>
        <w:t>基于现场踏勘情况，提出以下建议：</w:t>
      </w:r>
    </w:p>
    <w:p>
      <w:pPr>
        <w:numPr>
          <w:ilvl w:val="0"/>
          <w:numId w:val="1"/>
        </w:numPr>
        <w:ind w:firstLine="48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 w:cs="Times New Roman"/>
          <w:caps w:val="0"/>
          <w:smallCaps w:val="0"/>
        </w:rPr>
        <w:t>地块内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石油烃有检出，检出浓度最大点位位于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1D02（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3#储罐区中部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，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重点排查储罐区围堰防渗措施，发现问题进行修补完善，避免污染进一步扩散。</w:t>
      </w:r>
    </w:p>
    <w:p>
      <w:pPr>
        <w:numPr>
          <w:ilvl w:val="0"/>
          <w:numId w:val="1"/>
        </w:numPr>
        <w:ind w:firstLine="480"/>
        <w:rPr>
          <w:rFonts w:ascii="Times New Roman" w:hAnsi="Times New Roman" w:eastAsia="宋体" w:cs="Times New Roman"/>
          <w:caps w:val="0"/>
          <w:smallCaps w:val="0"/>
        </w:rPr>
      </w:pPr>
      <w:r>
        <w:rPr>
          <w:rFonts w:hint="eastAsia" w:ascii="Times New Roman" w:hAnsi="Times New Roman" w:eastAsia="宋体" w:cs="Times New Roman"/>
        </w:rPr>
        <w:t>本调查企业</w:t>
      </w:r>
      <w:r>
        <w:rPr>
          <w:rFonts w:hint="eastAsia" w:cs="Times New Roman"/>
          <w:lang w:eastAsia="zh-CN"/>
        </w:rPr>
        <w:t>东光县盛茂特种油品有限公司</w:t>
      </w:r>
      <w:r>
        <w:rPr>
          <w:rFonts w:hint="eastAsia" w:ascii="Times New Roman" w:hAnsi="Times New Roman" w:eastAsia="宋体" w:cs="Times New Roman"/>
        </w:rPr>
        <w:t>地块从事</w:t>
      </w:r>
      <w:r>
        <w:rPr>
          <w:rFonts w:hint="eastAsia" w:cs="Times New Roman"/>
          <w:lang w:eastAsia="zh-CN"/>
        </w:rPr>
        <w:t>基础油的</w:t>
      </w:r>
      <w:r>
        <w:rPr>
          <w:rFonts w:hint="eastAsia" w:ascii="Times New Roman" w:hAnsi="Times New Roman" w:eastAsia="宋体" w:cs="Times New Roman"/>
        </w:rPr>
        <w:t>加工，生产</w:t>
      </w:r>
      <w:r>
        <w:rPr>
          <w:rFonts w:hint="eastAsia" w:cs="Times New Roman"/>
          <w:lang w:eastAsia="zh-CN"/>
        </w:rPr>
        <w:t>乳化油、润滑油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caps w:val="0"/>
          <w:smallCaps w:val="0"/>
        </w:rPr>
        <w:t>建议定期对厂区内重点区域土壤进行监测，为土壤环境管控提供依据。</w:t>
      </w:r>
    </w:p>
    <w:p>
      <w:pPr>
        <w:ind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）建议企业下一年度开展自行监测的时候，加强地下水中特征因子苯的监测对比。</w:t>
      </w:r>
    </w:p>
    <w:p>
      <w:pPr>
        <w:ind w:firstLine="480"/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（4）企业应严格执行《</w:t>
      </w:r>
      <w:r>
        <w:rPr>
          <w:rFonts w:hint="eastAsia" w:ascii="Times New Roman" w:hAnsi="Times New Roman" w:eastAsia="宋体" w:cs="Times New Roman"/>
          <w:bCs/>
          <w:szCs w:val="24"/>
          <w:lang w:eastAsia="zh-CN"/>
        </w:rPr>
        <w:t>土壤污染隐患排查制度</w:t>
      </w:r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》，尽力避免企业环境污染事件的发生。</w:t>
      </w:r>
    </w:p>
    <w:p>
      <w:pPr>
        <w:pStyle w:val="2"/>
        <w:ind w:firstLine="480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（</w:t>
      </w:r>
      <w:r>
        <w:rPr>
          <w:rFonts w:hint="eastAsia" w:cs="Times New Roman"/>
          <w:caps w:val="0"/>
          <w:smallCaps w:val="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）</w:t>
      </w:r>
      <w:r>
        <w:rPr>
          <w:rFonts w:hint="eastAsia" w:ascii="Times New Roman" w:hAnsi="Times New Roman" w:eastAsia="宋体" w:cs="Times New Roman"/>
          <w:caps w:val="0"/>
          <w:smallCaps w:val="0"/>
        </w:rPr>
        <w:t>在后续生产过程中，企业应继续关注完善污染防治措施，加强环保设施管理，确保各项污染物稳定达标排放，一旦发现潜在污染源或地下隐蔽设施，存在环境污染风险时，应及时上报环境保护主管部门，必要时应继续开展相应的场地环境调查工作</w:t>
      </w:r>
      <w:bookmarkStart w:id="50" w:name="_GoBack"/>
      <w:bookmarkEnd w:id="50"/>
      <w:r>
        <w:rPr>
          <w:rFonts w:hint="default" w:ascii="Times New Roman" w:hAnsi="Times New Roman" w:eastAsia="宋体" w:cs="Times New Roman"/>
        </w:rPr>
        <w:t>。</w:t>
      </w:r>
    </w:p>
    <w:p>
      <w:pPr>
        <w:rPr>
          <w:rFonts w:hint="default"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D06C84"/>
    <w:multiLevelType w:val="singleLevel"/>
    <w:tmpl w:val="EDD06C8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10C0C"/>
    <w:rsid w:val="061C3FF4"/>
    <w:rsid w:val="075C2BB0"/>
    <w:rsid w:val="0BB96A67"/>
    <w:rsid w:val="0C4F2380"/>
    <w:rsid w:val="13EA0FD5"/>
    <w:rsid w:val="182F7208"/>
    <w:rsid w:val="20001EFE"/>
    <w:rsid w:val="20D31F0C"/>
    <w:rsid w:val="2D7A5EC0"/>
    <w:rsid w:val="2EF4307C"/>
    <w:rsid w:val="334652BF"/>
    <w:rsid w:val="40152BE1"/>
    <w:rsid w:val="43464A6F"/>
    <w:rsid w:val="46774884"/>
    <w:rsid w:val="47D92DEF"/>
    <w:rsid w:val="4BB24B01"/>
    <w:rsid w:val="4CCD5D9A"/>
    <w:rsid w:val="538920D1"/>
    <w:rsid w:val="53897AFB"/>
    <w:rsid w:val="57B07C62"/>
    <w:rsid w:val="5A692B9C"/>
    <w:rsid w:val="5C8D18FA"/>
    <w:rsid w:val="615C287A"/>
    <w:rsid w:val="625A3AA9"/>
    <w:rsid w:val="68394241"/>
    <w:rsid w:val="69291480"/>
    <w:rsid w:val="6E2568B8"/>
    <w:rsid w:val="6FFC5E05"/>
    <w:rsid w:val="71380AAD"/>
    <w:rsid w:val="769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960" w:firstLineChars="200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5"/>
    <w:next w:val="1"/>
    <w:qFormat/>
    <w:uiPriority w:val="99"/>
    <w:pPr>
      <w:keepNext/>
      <w:keepLines/>
      <w:spacing w:before="60" w:after="60"/>
      <w:ind w:firstLine="0" w:firstLineChars="0"/>
      <w:jc w:val="left"/>
      <w:outlineLvl w:val="0"/>
    </w:pPr>
    <w:rPr>
      <w:rFonts w:ascii="Times New Roman" w:hAnsi="Times New Roman" w:eastAsia="宋体"/>
      <w:kern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="120" w:after="120"/>
      <w:ind w:firstLine="0" w:firstLineChars="0"/>
      <w:outlineLvl w:val="1"/>
    </w:pPr>
    <w:rPr>
      <w:rFonts w:ascii="Times New Roman" w:hAnsi="Times New Roman" w:eastAsia="宋体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60" w:after="60"/>
      <w:ind w:firstLine="0" w:firstLineChars="0"/>
      <w:outlineLvl w:val="2"/>
    </w:pPr>
    <w:rPr>
      <w:rFonts w:ascii="Calibri" w:hAnsi="Calibri" w:eastAsia="宋体"/>
      <w:b/>
      <w:sz w:val="28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宋体"/>
      <w:b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Body Text First Indent 2"/>
    <w:basedOn w:val="7"/>
    <w:next w:val="11"/>
    <w:qFormat/>
    <w:uiPriority w:val="0"/>
    <w:pPr>
      <w:adjustRightInd w:val="0"/>
      <w:snapToGrid w:val="0"/>
      <w:spacing w:line="360" w:lineRule="auto"/>
      <w:ind w:left="0" w:leftChars="0"/>
    </w:pPr>
    <w:rPr>
      <w:rFonts w:ascii="Times New Roman" w:hAnsi="Times New Roman" w:eastAsia="宋体" w:cs="宋体"/>
      <w:color w:val="000000"/>
      <w:kern w:val="0"/>
      <w:szCs w:val="2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报告正文"/>
    <w:basedOn w:val="1"/>
    <w:qFormat/>
    <w:uiPriority w:val="0"/>
    <w:pPr>
      <w:widowControl/>
      <w:snapToGrid w:val="0"/>
      <w:spacing w:line="500" w:lineRule="exact"/>
      <w:ind w:firstLine="200"/>
      <w:jc w:val="left"/>
    </w:pPr>
    <w:rPr>
      <w:color w:val="000000"/>
      <w:szCs w:val="2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2020-10-14T06:12:32Z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